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tblInd w:w="6946" w:type="dxa"/>
        <w:tblLook w:val="01E0" w:firstRow="1" w:lastRow="1" w:firstColumn="1" w:lastColumn="1" w:noHBand="0" w:noVBand="0"/>
      </w:tblPr>
      <w:tblGrid>
        <w:gridCol w:w="2977"/>
      </w:tblGrid>
      <w:tr w:rsidR="001B5B9A" w:rsidRPr="00314142" w14:paraId="704EB120" w14:textId="77777777" w:rsidTr="00604731">
        <w:tc>
          <w:tcPr>
            <w:tcW w:w="2977" w:type="dxa"/>
          </w:tcPr>
          <w:p w14:paraId="3D2284D5" w14:textId="77777777" w:rsidR="001B5B9A" w:rsidRPr="00314142" w:rsidRDefault="001B5B9A" w:rsidP="00604731">
            <w:pPr>
              <w:widowControl w:val="0"/>
              <w:spacing w:after="0" w:line="240" w:lineRule="auto"/>
              <w:rPr>
                <w:rFonts w:ascii="Times New Roman" w:eastAsia="Times New Roman" w:hAnsi="Times New Roman" w:cs="Times New Roman"/>
                <w:sz w:val="24"/>
                <w:szCs w:val="24"/>
              </w:rPr>
            </w:pPr>
            <w:bookmarkStart w:id="0" w:name="_Hlk129338416"/>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r>
            <w:r w:rsidRPr="00314142">
              <w:rPr>
                <w:rFonts w:ascii="Times New Roman" w:eastAsia="Times New Roman" w:hAnsi="Times New Roman" w:cs="Times New Roman"/>
                <w:sz w:val="24"/>
                <w:szCs w:val="24"/>
              </w:rPr>
              <w:br w:type="page"/>
              <w:t>Konkurso sąlygų aprašo</w:t>
            </w:r>
          </w:p>
        </w:tc>
      </w:tr>
      <w:tr w:rsidR="001B5B9A" w:rsidRPr="00314142" w14:paraId="6575A5CD" w14:textId="77777777" w:rsidTr="00604731">
        <w:tc>
          <w:tcPr>
            <w:tcW w:w="2977" w:type="dxa"/>
          </w:tcPr>
          <w:p w14:paraId="15EDF8FC" w14:textId="1FA0131E" w:rsidR="001B5B9A" w:rsidRPr="00314142" w:rsidRDefault="001B5B9A" w:rsidP="00604731">
            <w:pPr>
              <w:widowControl w:val="0"/>
              <w:spacing w:after="0" w:line="240" w:lineRule="auto"/>
              <w:rPr>
                <w:rFonts w:ascii="Times New Roman" w:eastAsia="Times New Roman" w:hAnsi="Times New Roman" w:cs="Times New Roman"/>
                <w:sz w:val="24"/>
                <w:szCs w:val="24"/>
              </w:rPr>
            </w:pPr>
            <w:r w:rsidRPr="00314142">
              <w:rPr>
                <w:rFonts w:ascii="Times New Roman" w:eastAsia="Times New Roman" w:hAnsi="Times New Roman" w:cs="Times New Roman"/>
                <w:sz w:val="24"/>
                <w:szCs w:val="24"/>
                <w:highlight w:val="yellow"/>
              </w:rPr>
              <w:t>X</w:t>
            </w:r>
            <w:r w:rsidRPr="00314142">
              <w:rPr>
                <w:rFonts w:ascii="Times New Roman" w:eastAsia="Times New Roman" w:hAnsi="Times New Roman" w:cs="Times New Roman"/>
                <w:sz w:val="24"/>
                <w:szCs w:val="24"/>
              </w:rPr>
              <w:t xml:space="preserve"> priedas</w:t>
            </w:r>
          </w:p>
        </w:tc>
      </w:tr>
      <w:bookmarkEnd w:id="0"/>
    </w:tbl>
    <w:p w14:paraId="6D668389" w14:textId="77777777" w:rsidR="001B5B9A" w:rsidRPr="00314142" w:rsidRDefault="001B5B9A" w:rsidP="001B5B9A">
      <w:pPr>
        <w:spacing w:after="0" w:line="240" w:lineRule="auto"/>
        <w:jc w:val="center"/>
        <w:rPr>
          <w:rFonts w:ascii="Times New Roman" w:hAnsi="Times New Roman" w:cs="Times New Roman"/>
          <w:sz w:val="24"/>
          <w:szCs w:val="24"/>
        </w:rPr>
      </w:pPr>
    </w:p>
    <w:p w14:paraId="10D10559" w14:textId="77777777" w:rsidR="001B5B9A" w:rsidRPr="00314142" w:rsidRDefault="001B5B9A" w:rsidP="001B5B9A">
      <w:pPr>
        <w:spacing w:after="0" w:line="240" w:lineRule="auto"/>
        <w:jc w:val="center"/>
        <w:rPr>
          <w:rFonts w:ascii="Times New Roman" w:hAnsi="Times New Roman" w:cs="Times New Roman"/>
          <w:sz w:val="24"/>
          <w:szCs w:val="24"/>
        </w:rPr>
      </w:pPr>
      <w:r w:rsidRPr="00314142">
        <w:rPr>
          <w:rFonts w:ascii="Times New Roman" w:hAnsi="Times New Roman" w:cs="Times New Roman"/>
          <w:sz w:val="24"/>
          <w:szCs w:val="24"/>
        </w:rPr>
        <w:t>TECHNINĖ SPECIFIKACIJA</w:t>
      </w:r>
    </w:p>
    <w:p w14:paraId="3DC6F46F" w14:textId="11C8DBBF" w:rsidR="001B5B9A" w:rsidRPr="00314142" w:rsidRDefault="001B5B9A" w:rsidP="001B5B9A">
      <w:pPr>
        <w:spacing w:after="0" w:line="240" w:lineRule="auto"/>
        <w:jc w:val="center"/>
        <w:rPr>
          <w:rFonts w:ascii="Times New Roman" w:hAnsi="Times New Roman" w:cs="Times New Roman"/>
          <w:b/>
          <w:sz w:val="24"/>
          <w:szCs w:val="24"/>
        </w:rPr>
      </w:pPr>
      <w:r w:rsidRPr="00314142">
        <w:rPr>
          <w:rFonts w:ascii="Times New Roman" w:hAnsi="Times New Roman" w:cs="Times New Roman"/>
          <w:b/>
          <w:sz w:val="24"/>
          <w:szCs w:val="24"/>
        </w:rPr>
        <w:t>KLAIPĖDOS „TAURO“ LOPŠELIO- DARŽELIO BALDŲ SU MONTAVIMU PIRKIMAS</w:t>
      </w:r>
    </w:p>
    <w:p w14:paraId="149C1CA5" w14:textId="5DE66C64" w:rsidR="001B5B9A" w:rsidRPr="00314142" w:rsidRDefault="001B5B9A" w:rsidP="001B5B9A">
      <w:pPr>
        <w:spacing w:after="0" w:line="240" w:lineRule="auto"/>
        <w:jc w:val="center"/>
        <w:rPr>
          <w:rFonts w:ascii="Times New Roman" w:hAnsi="Times New Roman" w:cs="Times New Roman"/>
          <w:sz w:val="24"/>
          <w:szCs w:val="24"/>
        </w:rPr>
      </w:pPr>
      <w:r w:rsidRPr="00314142">
        <w:rPr>
          <w:rFonts w:ascii="Times New Roman" w:hAnsi="Times New Roman" w:cs="Times New Roman"/>
          <w:sz w:val="24"/>
          <w:szCs w:val="24"/>
        </w:rPr>
        <w:t>I. BENDRIEJI IR SPECIFINIAI VISŲ PERKAMŲ BALDŲ TIEKIMO, GAMYBOS IR MONTAVIMO NURODYMAI, REIKALAVIMAI, APRAŠYMAI</w:t>
      </w:r>
    </w:p>
    <w:p w14:paraId="6BD9135D" w14:textId="01C8CB3A" w:rsidR="001B5B9A" w:rsidRPr="00314142" w:rsidRDefault="001B5B9A" w:rsidP="001B5B9A">
      <w:pPr>
        <w:spacing w:after="0" w:line="240" w:lineRule="auto"/>
        <w:jc w:val="center"/>
        <w:rPr>
          <w:rFonts w:ascii="Times New Roman" w:hAnsi="Times New Roman" w:cs="Times New Roman"/>
          <w:sz w:val="24"/>
          <w:szCs w:val="24"/>
        </w:rPr>
      </w:pPr>
    </w:p>
    <w:p w14:paraId="0B95B0BA" w14:textId="431D495B"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bCs/>
          <w:sz w:val="24"/>
          <w:szCs w:val="24"/>
        </w:rPr>
        <w:t>Tiekėjas, prieš gaminant baldus, turi pasitikslinti patalpų matmenis vietoje – objekte 3 p. nurodytu adresu, kad pagaminti baldai būtų tinkamų matmenų</w:t>
      </w:r>
      <w:r w:rsidRPr="00314142">
        <w:rPr>
          <w:rFonts w:ascii="Times New Roman" w:hAnsi="Times New Roman" w:cs="Times New Roman"/>
          <w:sz w:val="24"/>
          <w:szCs w:val="24"/>
        </w:rPr>
        <w:t xml:space="preserve"> bei suderinti su perkančiąja</w:t>
      </w:r>
      <w:r w:rsidR="00D41AA2">
        <w:rPr>
          <w:rFonts w:ascii="Times New Roman" w:hAnsi="Times New Roman" w:cs="Times New Roman"/>
          <w:sz w:val="24"/>
          <w:szCs w:val="24"/>
        </w:rPr>
        <w:t xml:space="preserve"> organizacija</w:t>
      </w:r>
      <w:r w:rsidRPr="00314142">
        <w:rPr>
          <w:rFonts w:ascii="Times New Roman" w:hAnsi="Times New Roman" w:cs="Times New Roman"/>
          <w:sz w:val="24"/>
          <w:szCs w:val="24"/>
        </w:rPr>
        <w:t xml:space="preserve">  baldų komplektaciją ir kiekius, paruošti numatomų gaminti baldų brėžinius ir juos suderinti tarpusavyje.</w:t>
      </w:r>
    </w:p>
    <w:p w14:paraId="08A989F1"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eastAsia="MS ??" w:hAnsi="Times New Roman" w:cs="Times New Roman"/>
          <w:sz w:val="24"/>
          <w:szCs w:val="24"/>
        </w:rPr>
        <w:t>Siūlomi baldai turi būti pagaminti vieno gamintojo  ir sudaryti vieningą baldų sistemą. Baldai turi derėti tarpusavyje, būti vientisi, suderintų spalvų, pajungti įrangą, santechniką (kur numatyta).</w:t>
      </w:r>
      <w:r w:rsidRPr="00314142">
        <w:rPr>
          <w:rFonts w:ascii="Times New Roman" w:hAnsi="Times New Roman" w:cs="Times New Roman"/>
          <w:sz w:val="24"/>
          <w:szCs w:val="24"/>
        </w:rPr>
        <w:t xml:space="preserve"> Visi pavojingi baldų kampai turi būti užapvalinti.</w:t>
      </w:r>
    </w:p>
    <w:p w14:paraId="6B1DA922" w14:textId="77777777" w:rsidR="001B5B9A" w:rsidRPr="00314142" w:rsidRDefault="001B5B9A" w:rsidP="00314142">
      <w:pPr>
        <w:pStyle w:val="Sraopastraipa"/>
        <w:numPr>
          <w:ilvl w:val="0"/>
          <w:numId w:val="1"/>
        </w:numPr>
        <w:ind w:left="0" w:firstLine="851"/>
        <w:jc w:val="both"/>
        <w:rPr>
          <w:rFonts w:ascii="Times New Roman" w:hAnsi="Times New Roman" w:cs="Times New Roman"/>
          <w:bCs/>
          <w:sz w:val="24"/>
          <w:szCs w:val="24"/>
        </w:rPr>
      </w:pPr>
      <w:r w:rsidRPr="00314142">
        <w:rPr>
          <w:rFonts w:ascii="Times New Roman" w:hAnsi="Times New Roman" w:cs="Times New Roman"/>
          <w:sz w:val="24"/>
          <w:szCs w:val="24"/>
        </w:rPr>
        <w:t xml:space="preserve">Baldai privalo būti pristatyti, sunešti  ir sumontuoti </w:t>
      </w:r>
      <w:r w:rsidRPr="00314142">
        <w:rPr>
          <w:rFonts w:ascii="Times New Roman" w:hAnsi="Times New Roman" w:cs="Times New Roman"/>
          <w:bCs/>
          <w:sz w:val="24"/>
          <w:szCs w:val="24"/>
        </w:rPr>
        <w:t>BĮ Klaipėdos „Tauro“ lopšelyje-darželyje, adresu: Klaipėdos g. 31, Klaipėda. Turi būti užtikrinamas stacionarių baldų (įrangos) stabilumas. Esant poreikiui, jie turi būti pritvirtinti prie grindų ar sienų. Tiekėjas turi įsivertinti, kad baldus reikės užnešti aukščiausiai į 2-ą aukštą.</w:t>
      </w:r>
    </w:p>
    <w:p w14:paraId="6BEE5B3C"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rPr>
        <w:t>Po sutarties pasirašymo per 10 d. d. tiekėjas privalo pateikti baldų brėžinius/vizualizacijas/vaizdus.</w:t>
      </w:r>
    </w:p>
    <w:p w14:paraId="322EFD91"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eastAsia="Cambria" w:hAnsi="Times New Roman" w:cs="Times New Roman"/>
          <w:sz w:val="24"/>
          <w:szCs w:val="24"/>
          <w:lang w:eastAsia="ar-SA"/>
        </w:rPr>
        <w:t>Garantiniu laikotarpiu Pirkėjui pranešus apie nekokybišką prekę, Tiekėjas turi ją pakeisti į kokybišką ne vėliau kaip per 14 (keturiolika) kalendorinių dienų nuo gauto (telefonu ir/ar el. paštu) pranešimo.</w:t>
      </w:r>
    </w:p>
    <w:p w14:paraId="4FC26563" w14:textId="77777777"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rPr>
        <w:t>Visoms nurodytoms prekių konkrečioms medžiagoms ir/ar konkretiems pavadinimams, standartams ir pan. taikoma „arba lygiavertis“. Tiekėjas, siūlantis lygiavertę prekę privalo savo pasiūlyme patikimomis priemonėmis įrodyti, kad siūloma prekė yra lygiavertė ir atitinka techninėje specifikacijoje keliamus reikalavimus.</w:t>
      </w:r>
    </w:p>
    <w:p w14:paraId="6FB86C44" w14:textId="77E5D62D" w:rsidR="001B5B9A" w:rsidRPr="00314142" w:rsidRDefault="001B5B9A" w:rsidP="00314142">
      <w:pPr>
        <w:pStyle w:val="Sraopastraipa"/>
        <w:numPr>
          <w:ilvl w:val="0"/>
          <w:numId w:val="1"/>
        </w:numPr>
        <w:ind w:left="0" w:firstLine="851"/>
        <w:jc w:val="both"/>
        <w:rPr>
          <w:rFonts w:ascii="Times New Roman" w:hAnsi="Times New Roman" w:cs="Times New Roman"/>
          <w:sz w:val="24"/>
          <w:szCs w:val="24"/>
        </w:rPr>
      </w:pPr>
      <w:r w:rsidRPr="00314142">
        <w:rPr>
          <w:rFonts w:ascii="Times New Roman" w:hAnsi="Times New Roman" w:cs="Times New Roman"/>
          <w:sz w:val="24"/>
          <w:szCs w:val="24"/>
          <w:lang w:eastAsia="en-US"/>
        </w:rPr>
        <w:t xml:space="preserve"> Vadovaujantis Aplinkos apsaugos kriterijų, kuriuos perkančiosios organizacijos ir perkantieji subjektai turi taikyti pirkdami prekes, paslaugas ar darbus, taikymo tvarkos aprašo, patvirtinto Lietuvos Respublikos aplinkos ministro 2011 m. birželio 28 d. įsakymu Nr. D1-508 (toliau - Tvarkos aprašas),  4.1 p., Tvarkos aprašo 2 priedo VII skyriuje  7 p. išdėstytais minimaliais reikalavimais, šis pirkimas laikomas žaliuoju, todėl baldams keliami</w:t>
      </w:r>
      <w:r w:rsidR="00314142" w:rsidRPr="00314142">
        <w:rPr>
          <w:rFonts w:ascii="Times New Roman" w:hAnsi="Times New Roman" w:cs="Times New Roman"/>
          <w:sz w:val="24"/>
          <w:szCs w:val="24"/>
          <w:lang w:eastAsia="en-US"/>
        </w:rPr>
        <w:t xml:space="preserve"> </w:t>
      </w:r>
      <w:r w:rsidRPr="00314142">
        <w:rPr>
          <w:rFonts w:ascii="Times New Roman" w:hAnsi="Times New Roman" w:cs="Times New Roman"/>
          <w:sz w:val="24"/>
          <w:szCs w:val="24"/>
          <w:lang w:eastAsia="en-US"/>
        </w:rPr>
        <w:t>reikalavimai</w:t>
      </w:r>
      <w:r w:rsidR="00314142" w:rsidRPr="00314142">
        <w:rPr>
          <w:rFonts w:ascii="Times New Roman" w:eastAsia="Cambria" w:hAnsi="Times New Roman" w:cs="Times New Roman"/>
          <w:sz w:val="24"/>
          <w:szCs w:val="24"/>
          <w:lang w:eastAsia="ar-SA"/>
        </w:rPr>
        <w:t>, kurie nurodyti</w:t>
      </w:r>
      <w:r w:rsidR="00314142">
        <w:rPr>
          <w:rFonts w:ascii="Times New Roman" w:eastAsia="Cambria" w:hAnsi="Times New Roman" w:cs="Times New Roman"/>
          <w:sz w:val="24"/>
          <w:szCs w:val="24"/>
          <w:lang w:eastAsia="ar-SA"/>
        </w:rPr>
        <w:t xml:space="preserve"> kiekvienoje techninėje specifikacijoje.</w:t>
      </w:r>
    </w:p>
    <w:p w14:paraId="0A6792AC" w14:textId="77777777" w:rsidR="001B5B9A" w:rsidRPr="00D94285" w:rsidRDefault="001B5B9A"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314142">
        <w:rPr>
          <w:rFonts w:ascii="Times New Roman" w:hAnsi="Times New Roman" w:cs="Times New Roman"/>
          <w:bCs/>
          <w:sz w:val="24"/>
          <w:szCs w:val="24"/>
        </w:rPr>
        <w:t xml:space="preserve">Tiekėjas baldams turi suteikti ne mažiau kaip </w:t>
      </w:r>
      <w:r w:rsidRPr="00314142">
        <w:rPr>
          <w:rFonts w:ascii="Times New Roman" w:hAnsi="Times New Roman" w:cs="Times New Roman"/>
          <w:b/>
          <w:sz w:val="24"/>
          <w:szCs w:val="24"/>
          <w:u w:val="single"/>
        </w:rPr>
        <w:t>12 mėn.</w:t>
      </w:r>
      <w:r w:rsidRPr="00314142">
        <w:rPr>
          <w:rFonts w:ascii="Times New Roman" w:hAnsi="Times New Roman" w:cs="Times New Roman"/>
          <w:bCs/>
          <w:sz w:val="24"/>
          <w:szCs w:val="24"/>
        </w:rPr>
        <w:t xml:space="preserve"> garantiją.</w:t>
      </w:r>
      <w:r w:rsidRPr="00314142">
        <w:rPr>
          <w:rFonts w:ascii="Times New Roman" w:hAnsi="Times New Roman" w:cs="Times New Roman"/>
          <w:sz w:val="24"/>
          <w:szCs w:val="24"/>
        </w:rPr>
        <w:t xml:space="preserve"> </w:t>
      </w:r>
      <w:r w:rsidRPr="00314142">
        <w:rPr>
          <w:rFonts w:ascii="Times New Roman" w:hAnsi="Times New Roman" w:cs="Times New Roman"/>
          <w:bCs/>
          <w:sz w:val="24"/>
          <w:szCs w:val="24"/>
        </w:rPr>
        <w:t>Garantija apima medžiagų, iš kurių pagamintos prekės, kokybės, prekių gamybos kokybės, o taip pat montavimo darbų kokybės garantiją.</w:t>
      </w:r>
      <w:r w:rsidRPr="00314142">
        <w:rPr>
          <w:rFonts w:ascii="Times New Roman" w:hAnsi="Times New Roman" w:cs="Times New Roman"/>
          <w:sz w:val="24"/>
          <w:szCs w:val="24"/>
        </w:rPr>
        <w:t xml:space="preserve"> </w:t>
      </w:r>
      <w:r w:rsidRPr="00D94285">
        <w:rPr>
          <w:rFonts w:ascii="Times New Roman" w:hAnsi="Times New Roman" w:cs="Times New Roman"/>
          <w:bCs/>
          <w:sz w:val="24"/>
          <w:szCs w:val="24"/>
        </w:rPr>
        <w:t>Garantija taikoma prekių kokybės trūkumams, atsiradusiems dėl gamintojo kaltės. Garantija turi galioti visoms baldų sudėtinėms dalims ir komplektuojamosioms detalėms.</w:t>
      </w:r>
    </w:p>
    <w:p w14:paraId="797B4DE0" w14:textId="4B65174B" w:rsidR="001B5B9A" w:rsidRPr="00D94285" w:rsidRDefault="001B5B9A"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Tiekėjas privalo specifikacijoje pateikti tikslias charakteristikas. Jei tiekėjas užpildė netikslias charakteristikas arba nurodė „Atitinka“, toks pasiūlymas bus atmetamas</w:t>
      </w:r>
      <w:r w:rsidR="00D41AA2" w:rsidRPr="00D94285">
        <w:rPr>
          <w:rFonts w:ascii="Times New Roman" w:hAnsi="Times New Roman" w:cs="Times New Roman"/>
          <w:sz w:val="24"/>
          <w:szCs w:val="24"/>
        </w:rPr>
        <w:t>;</w:t>
      </w:r>
    </w:p>
    <w:p w14:paraId="00809B59" w14:textId="665CB226"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 xml:space="preserve">Jei baldų statymo, montavimo patalpose prie sienų/pertvarų (ar kt.) numatomi statyti baldai užstos patalpose esančius inžinerinės instaliacijos elementus (E-ER lizdus, </w:t>
      </w:r>
      <w:proofErr w:type="spellStart"/>
      <w:r w:rsidRPr="00D94285">
        <w:rPr>
          <w:rFonts w:ascii="Times New Roman" w:hAnsi="Times New Roman" w:cs="Times New Roman"/>
          <w:sz w:val="24"/>
          <w:szCs w:val="24"/>
        </w:rPr>
        <w:t>įv</w:t>
      </w:r>
      <w:proofErr w:type="spellEnd"/>
      <w:r w:rsidRPr="00D94285">
        <w:rPr>
          <w:rFonts w:ascii="Times New Roman" w:hAnsi="Times New Roman" w:cs="Times New Roman"/>
          <w:sz w:val="24"/>
          <w:szCs w:val="24"/>
        </w:rPr>
        <w:t xml:space="preserve">. liukus, reguliavimo sklendes, inž. prievadus ir pan.) ar yra kitokios fizinės kliūtys, - tie baldai turi būti numatyti su priėjimo angomis prie tų inž. </w:t>
      </w:r>
      <w:proofErr w:type="spellStart"/>
      <w:r w:rsidRPr="00D94285">
        <w:rPr>
          <w:rFonts w:ascii="Times New Roman" w:hAnsi="Times New Roman" w:cs="Times New Roman"/>
          <w:sz w:val="24"/>
          <w:szCs w:val="24"/>
        </w:rPr>
        <w:t>instal</w:t>
      </w:r>
      <w:proofErr w:type="spellEnd"/>
      <w:r w:rsidRPr="00D94285">
        <w:rPr>
          <w:rFonts w:ascii="Times New Roman" w:hAnsi="Times New Roman" w:cs="Times New Roman"/>
          <w:sz w:val="24"/>
          <w:szCs w:val="24"/>
        </w:rPr>
        <w:t xml:space="preserve">. elementų per jų nugarėles (ar kt. vietose). </w:t>
      </w:r>
    </w:p>
    <w:p w14:paraId="7FCB55FE" w14:textId="77777777"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rPr>
        <w:t xml:space="preserve">Visos prekės (įskaitant jų dalis ir priedus) turi būti naujos, nenaudotos, pateikiamos su visais varžtais, lankstais bei kitais priedais ar furnitūra, reikalingais tinkamai eksploatuoti prekes. </w:t>
      </w:r>
    </w:p>
    <w:p w14:paraId="61403B46" w14:textId="1049F1BB" w:rsidR="00D41AA2" w:rsidRPr="00D94285" w:rsidRDefault="00D41AA2" w:rsidP="008B214A">
      <w:pPr>
        <w:pStyle w:val="Sraopastraipa"/>
        <w:numPr>
          <w:ilvl w:val="0"/>
          <w:numId w:val="1"/>
        </w:numPr>
        <w:ind w:left="0" w:firstLine="851"/>
        <w:jc w:val="both"/>
        <w:rPr>
          <w:rFonts w:ascii="Times New Roman" w:eastAsia="Cambria" w:hAnsi="Times New Roman" w:cs="Times New Roman"/>
          <w:sz w:val="24"/>
          <w:szCs w:val="24"/>
          <w:lang w:eastAsia="ar-SA"/>
        </w:rPr>
      </w:pPr>
      <w:r w:rsidRPr="00D94285">
        <w:rPr>
          <w:rFonts w:ascii="Times New Roman" w:hAnsi="Times New Roman" w:cs="Times New Roman"/>
          <w:sz w:val="24"/>
          <w:szCs w:val="24"/>
          <w:lang w:eastAsia="lt-LT"/>
        </w:rPr>
        <w:t>Prekės turi būti montuojamos taip, kad patalpose esanti kita įranga bei kitas turtas nebūtų sugadinti, priešingu atveju tiekėjas turi atlyginti padarytus nuostolius.</w:t>
      </w:r>
    </w:p>
    <w:p w14:paraId="50B18974" w14:textId="77777777" w:rsidR="00785253" w:rsidRPr="00D94285" w:rsidRDefault="00785253" w:rsidP="008B214A">
      <w:pPr>
        <w:pStyle w:val="Betarp"/>
        <w:numPr>
          <w:ilvl w:val="0"/>
          <w:numId w:val="1"/>
        </w:numPr>
        <w:ind w:left="0" w:firstLine="851"/>
        <w:jc w:val="both"/>
        <w:rPr>
          <w:szCs w:val="24"/>
          <w:lang w:val="lt-LT"/>
        </w:rPr>
      </w:pPr>
      <w:r w:rsidRPr="00D94285">
        <w:rPr>
          <w:szCs w:val="24"/>
          <w:lang w:val="lt-LT" w:eastAsia="lt-LT"/>
        </w:rPr>
        <w:t>Tiekėjas, sumontavęs prekes, turi sutvarkyti prekių įrengimo vietą, išvežti prekių montavimo metu susidariusias atliekas (jeigu jų susidaro).</w:t>
      </w:r>
    </w:p>
    <w:p w14:paraId="1417D75E" w14:textId="77777777" w:rsidR="00785253" w:rsidRPr="00D94285" w:rsidRDefault="00785253" w:rsidP="008B214A">
      <w:pPr>
        <w:pStyle w:val="Sraopastraipa"/>
        <w:numPr>
          <w:ilvl w:val="0"/>
          <w:numId w:val="1"/>
        </w:numPr>
        <w:tabs>
          <w:tab w:val="left" w:pos="1134"/>
        </w:tabs>
        <w:spacing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lastRenderedPageBreak/>
        <w:t xml:space="preserve">Už pagaminto baldo konstrukcinius sprendimus (galutinai tikslinamus baldų gamintojo gamybinių-darbo brėžinių rengimo metu), jų stabilumą bei pastovumą, už gaminiui panaudotas visas detales, jų įdiegimą bei sumontavimą atsako tiekėjas. </w:t>
      </w:r>
    </w:p>
    <w:p w14:paraId="233D89CD" w14:textId="5405487D" w:rsidR="00785253" w:rsidRPr="00D94285" w:rsidRDefault="00785253" w:rsidP="008B214A">
      <w:pPr>
        <w:pStyle w:val="Sraopastraipa"/>
        <w:numPr>
          <w:ilvl w:val="0"/>
          <w:numId w:val="1"/>
        </w:numPr>
        <w:tabs>
          <w:tab w:val="left" w:pos="1134"/>
        </w:tabs>
        <w:spacing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t xml:space="preserve">Tiekėjo rengiami ir teikiami derinimui gamybiniai-darbo brėžiniuose turi būti detaliai (aiškiai) matomos visos baldo sudedamosios dalys, detalės, įranga (brėžiniai derinimui su perkančiąja organizacija turi būti pateikti </w:t>
      </w:r>
      <w:proofErr w:type="spellStart"/>
      <w:r w:rsidRPr="00D94285">
        <w:rPr>
          <w:rFonts w:ascii="Times New Roman" w:hAnsi="Times New Roman" w:cs="Times New Roman"/>
          <w:sz w:val="24"/>
          <w:szCs w:val="24"/>
        </w:rPr>
        <w:t>pdf</w:t>
      </w:r>
      <w:proofErr w:type="spellEnd"/>
      <w:r w:rsidRPr="00D94285">
        <w:rPr>
          <w:rFonts w:ascii="Times New Roman" w:hAnsi="Times New Roman" w:cs="Times New Roman"/>
          <w:sz w:val="24"/>
          <w:szCs w:val="24"/>
        </w:rPr>
        <w:t xml:space="preserve"> ir </w:t>
      </w:r>
      <w:proofErr w:type="spellStart"/>
      <w:r w:rsidRPr="00D94285">
        <w:rPr>
          <w:rFonts w:ascii="Times New Roman" w:hAnsi="Times New Roman" w:cs="Times New Roman"/>
          <w:sz w:val="24"/>
          <w:szCs w:val="24"/>
        </w:rPr>
        <w:t>dwg</w:t>
      </w:r>
      <w:proofErr w:type="spellEnd"/>
      <w:r w:rsidRPr="00D94285">
        <w:rPr>
          <w:rFonts w:ascii="Times New Roman" w:hAnsi="Times New Roman" w:cs="Times New Roman"/>
          <w:sz w:val="24"/>
          <w:szCs w:val="24"/>
        </w:rPr>
        <w:t xml:space="preserve"> formatu). Baldų tiekėjo parengtų gamybinių-darbo brėžinių derinimas su paskirtu perkančiosios organizacijos atstovu, neatleidžia tiekėjo nuo padarytų klaidų ar trūkumų rengiant gamybinius-darbo brėžinius dėl paties baldo ar jo dalių stabilumo (neišlinkimo, nesiūbavimo), tvirtumo, pastovumo konstrukcinio ar technologinio sprendimo. Baldų tiekėjas iš anksto turi įsivertinti kiekvieno baldo konstrukciniam (patikimam, tvirtam bei atitinkančiam kitus funkcinius poreikius) sprendimui užtikrinti reikalingas medžiagas, sąrangos sprendimus bei priemones, kurios nebūtinai yra įvardintos perkančiosios organizacijos skelbiamuose aprašymuose</w:t>
      </w:r>
      <w:r w:rsidR="002A5593">
        <w:rPr>
          <w:rFonts w:ascii="Times New Roman" w:hAnsi="Times New Roman" w:cs="Times New Roman"/>
          <w:sz w:val="24"/>
          <w:szCs w:val="24"/>
        </w:rPr>
        <w:t>/ techninėse specifikacijose</w:t>
      </w:r>
      <w:r w:rsidRPr="00D94285">
        <w:rPr>
          <w:rFonts w:ascii="Times New Roman" w:hAnsi="Times New Roman" w:cs="Times New Roman"/>
          <w:sz w:val="24"/>
          <w:szCs w:val="24"/>
        </w:rPr>
        <w:t>, - tai detalizuojama tiekėjo rengiamuose baldų gamybiniuose-darbo brėžiniuose (bei iš anksto derinama su perkančiosios organizacijos paskirtu atstovu).</w:t>
      </w:r>
    </w:p>
    <w:p w14:paraId="5FB99916" w14:textId="1CCA156F" w:rsidR="00670970" w:rsidRPr="00D94285" w:rsidRDefault="00670970" w:rsidP="008B214A">
      <w:pPr>
        <w:pStyle w:val="Sraopastraipa"/>
        <w:numPr>
          <w:ilvl w:val="0"/>
          <w:numId w:val="1"/>
        </w:numPr>
        <w:tabs>
          <w:tab w:val="left" w:pos="1134"/>
        </w:tabs>
        <w:spacing w:after="0"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rPr>
        <w:t xml:space="preserve">Dažais (įskaitant ir miltelinius dažus) dengti baldų detalių, elementų paviršiai turi būti padengti vienodu jų storiu, dažytas paviršius turi būti lygus (be įdubimų ir iškilimų, be nutekėjimų, pilnu dažomo paviršiaus uždengimu), dažų sluoksnis turi būti gerai ir pilnai prikibęs su dažomu paviršiumi (be dažų sluoksnio atšokimų, spalvos pakitimų, be sutrūkinėjimų). </w:t>
      </w:r>
    </w:p>
    <w:p w14:paraId="5519A7D1" w14:textId="1150B197" w:rsidR="00670970" w:rsidRPr="00D94285" w:rsidRDefault="00670970" w:rsidP="008B214A">
      <w:pPr>
        <w:pStyle w:val="Sraopastraipa"/>
        <w:numPr>
          <w:ilvl w:val="0"/>
          <w:numId w:val="1"/>
        </w:numPr>
        <w:tabs>
          <w:tab w:val="left" w:pos="1134"/>
        </w:tabs>
        <w:spacing w:after="0" w:line="240" w:lineRule="auto"/>
        <w:ind w:left="0" w:firstLine="851"/>
        <w:jc w:val="both"/>
        <w:rPr>
          <w:rFonts w:ascii="Times New Roman" w:hAnsi="Times New Roman" w:cs="Times New Roman"/>
          <w:sz w:val="24"/>
          <w:szCs w:val="24"/>
        </w:rPr>
      </w:pPr>
      <w:r w:rsidRPr="00D94285">
        <w:rPr>
          <w:rFonts w:ascii="Times New Roman" w:hAnsi="Times New Roman" w:cs="Times New Roman"/>
          <w:sz w:val="24"/>
          <w:szCs w:val="24"/>
          <w:lang w:eastAsia="lt-LT"/>
        </w:rPr>
        <w:t>Esant prieštaravimams tarp techninių specifikacijų ir brėžinių, vadovaujamasi techninėse specifikacijose nurodytais reikalavimais.</w:t>
      </w:r>
    </w:p>
    <w:p w14:paraId="1523E084" w14:textId="77777777" w:rsidR="00670970" w:rsidRPr="00785253" w:rsidRDefault="00670970" w:rsidP="008B214A">
      <w:pPr>
        <w:pStyle w:val="Sraopastraipa"/>
        <w:tabs>
          <w:tab w:val="left" w:pos="1134"/>
        </w:tabs>
        <w:spacing w:line="240" w:lineRule="auto"/>
        <w:ind w:left="709" w:firstLine="851"/>
        <w:jc w:val="both"/>
        <w:rPr>
          <w:rFonts w:ascii="Times New Roman" w:hAnsi="Times New Roman" w:cs="Times New Roman"/>
          <w:sz w:val="24"/>
          <w:szCs w:val="24"/>
          <w:highlight w:val="green"/>
        </w:rPr>
      </w:pPr>
    </w:p>
    <w:p w14:paraId="46D0A5D1" w14:textId="77777777" w:rsidR="00670970" w:rsidRPr="008C0165" w:rsidRDefault="00670970" w:rsidP="00670970">
      <w:pPr>
        <w:pStyle w:val="Betarp"/>
        <w:jc w:val="center"/>
        <w:rPr>
          <w:lang w:val="lt-LT"/>
        </w:rPr>
      </w:pPr>
      <w:r>
        <w:rPr>
          <w:szCs w:val="24"/>
          <w:lang w:val="lt-LT" w:eastAsia="lt-LT"/>
        </w:rPr>
        <w:t>________________</w:t>
      </w:r>
    </w:p>
    <w:p w14:paraId="7643D489" w14:textId="77777777" w:rsidR="00785253" w:rsidRPr="00785253" w:rsidRDefault="00785253" w:rsidP="00785253">
      <w:pPr>
        <w:tabs>
          <w:tab w:val="left" w:pos="1134"/>
        </w:tabs>
        <w:spacing w:line="240" w:lineRule="auto"/>
        <w:jc w:val="both"/>
        <w:rPr>
          <w:rFonts w:ascii="Times New Roman" w:hAnsi="Times New Roman" w:cs="Times New Roman"/>
          <w:sz w:val="24"/>
          <w:szCs w:val="24"/>
          <w:highlight w:val="green"/>
        </w:rPr>
      </w:pPr>
    </w:p>
    <w:p w14:paraId="0C3C5121" w14:textId="77777777" w:rsidR="00785253" w:rsidRPr="00785253" w:rsidRDefault="00785253" w:rsidP="00785253">
      <w:pPr>
        <w:tabs>
          <w:tab w:val="left" w:pos="1134"/>
        </w:tabs>
        <w:spacing w:line="240" w:lineRule="auto"/>
        <w:jc w:val="both"/>
        <w:rPr>
          <w:rFonts w:ascii="Times New Roman" w:hAnsi="Times New Roman" w:cs="Times New Roman"/>
          <w:sz w:val="24"/>
          <w:szCs w:val="24"/>
          <w:highlight w:val="green"/>
        </w:rPr>
      </w:pPr>
    </w:p>
    <w:p w14:paraId="1A691AFA" w14:textId="77777777" w:rsidR="00785253" w:rsidRPr="00785253" w:rsidRDefault="00785253" w:rsidP="00785253">
      <w:pPr>
        <w:pStyle w:val="Betarp"/>
        <w:jc w:val="both"/>
        <w:rPr>
          <w:szCs w:val="24"/>
          <w:highlight w:val="green"/>
          <w:lang w:val="lt-LT"/>
        </w:rPr>
      </w:pPr>
    </w:p>
    <w:p w14:paraId="64C7BBF2" w14:textId="77777777" w:rsidR="00D41AA2" w:rsidRPr="00D41AA2" w:rsidRDefault="00D41AA2" w:rsidP="00785253">
      <w:pPr>
        <w:pStyle w:val="Sraopastraipa"/>
        <w:ind w:left="851"/>
        <w:jc w:val="both"/>
        <w:rPr>
          <w:rFonts w:ascii="Times New Roman" w:eastAsia="Cambria" w:hAnsi="Times New Roman" w:cs="Times New Roman"/>
          <w:sz w:val="24"/>
          <w:szCs w:val="24"/>
          <w:highlight w:val="yellow"/>
          <w:lang w:eastAsia="ar-SA"/>
        </w:rPr>
      </w:pPr>
    </w:p>
    <w:p w14:paraId="0F292E0A" w14:textId="77777777" w:rsidR="001B5B9A" w:rsidRPr="00314142" w:rsidRDefault="001B5B9A" w:rsidP="001B5B9A">
      <w:pPr>
        <w:spacing w:after="0" w:line="240" w:lineRule="auto"/>
        <w:jc w:val="center"/>
        <w:rPr>
          <w:rFonts w:ascii="Times New Roman" w:hAnsi="Times New Roman" w:cs="Times New Roman"/>
          <w:sz w:val="24"/>
          <w:szCs w:val="24"/>
        </w:rPr>
      </w:pPr>
    </w:p>
    <w:p w14:paraId="71C133C8" w14:textId="7E249EA0" w:rsidR="00D753F3" w:rsidRPr="00314142" w:rsidRDefault="001B5B9A">
      <w:pPr>
        <w:rPr>
          <w:sz w:val="24"/>
          <w:szCs w:val="24"/>
        </w:rPr>
      </w:pPr>
      <w:r w:rsidRPr="00314142">
        <w:rPr>
          <w:sz w:val="24"/>
          <w:szCs w:val="24"/>
        </w:rPr>
        <w:t xml:space="preserve"> </w:t>
      </w:r>
    </w:p>
    <w:sectPr w:rsidR="00D753F3" w:rsidRPr="00314142" w:rsidSect="00314142">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E4F80"/>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332B78"/>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476647"/>
    <w:multiLevelType w:val="hybridMultilevel"/>
    <w:tmpl w:val="0A78164C"/>
    <w:lvl w:ilvl="0" w:tplc="14404A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C033A7"/>
    <w:multiLevelType w:val="multilevel"/>
    <w:tmpl w:val="3CD41DFC"/>
    <w:lvl w:ilvl="0">
      <w:start w:val="1"/>
      <w:numFmt w:val="decimal"/>
      <w:lvlText w:val="%1."/>
      <w:lvlJc w:val="left"/>
      <w:pPr>
        <w:ind w:left="1656" w:hanging="1296"/>
      </w:pPr>
      <w:rPr>
        <w:rFonts w:hint="default"/>
      </w:rPr>
    </w:lvl>
    <w:lvl w:ilvl="1">
      <w:start w:val="1"/>
      <w:numFmt w:val="decimal"/>
      <w:isLgl/>
      <w:lvlText w:val="%1.%2."/>
      <w:lvlJc w:val="left"/>
      <w:pPr>
        <w:ind w:left="852" w:hanging="49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B9A"/>
    <w:rsid w:val="00010DBD"/>
    <w:rsid w:val="00093320"/>
    <w:rsid w:val="001B5B9A"/>
    <w:rsid w:val="002A5593"/>
    <w:rsid w:val="00314142"/>
    <w:rsid w:val="00670970"/>
    <w:rsid w:val="00785253"/>
    <w:rsid w:val="00785B93"/>
    <w:rsid w:val="0079593F"/>
    <w:rsid w:val="008B214A"/>
    <w:rsid w:val="00BB16E3"/>
    <w:rsid w:val="00D41AA2"/>
    <w:rsid w:val="00D753F3"/>
    <w:rsid w:val="00D94285"/>
    <w:rsid w:val="00E11F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4C223"/>
  <w15:chartTrackingRefBased/>
  <w15:docId w15:val="{2FE2A03D-5845-4F9C-966E-E658E14BF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5B9A"/>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ERP-List Paragraph,List Paragraph1,List Paragraph11,Numbering,Bullet EY,List Paragraph2,Sąrašo pastraipa1,List Paragraph21,Lentele,List not in Table,punktai,Table of contents numbered,Bullet,Buletai,lp1,Bullet 1"/>
    <w:basedOn w:val="prastasis"/>
    <w:link w:val="SraopastraipaDiagrama"/>
    <w:uiPriority w:val="34"/>
    <w:qFormat/>
    <w:rsid w:val="001B5B9A"/>
    <w:pPr>
      <w:spacing w:line="252" w:lineRule="auto"/>
      <w:ind w:left="720"/>
      <w:contextualSpacing/>
    </w:pPr>
    <w:rPr>
      <w:rFonts w:ascii="Calibri" w:eastAsia="Calibri" w:hAnsi="Calibri" w:cs="Calibri"/>
      <w:lang w:eastAsia="zh-CN"/>
    </w:rPr>
  </w:style>
  <w:style w:type="character" w:customStyle="1" w:styleId="SraopastraipaDiagrama">
    <w:name w:val="Sąrašo pastraipa Diagrama"/>
    <w:aliases w:val="List Paragraph Red Diagrama,ERP-List Paragraph Diagrama,List Paragraph1 Diagrama,List Paragraph11 Diagrama,Numbering Diagrama,Bullet EY Diagrama,List Paragraph2 Diagrama,Sąrašo pastraipa1 Diagrama,List Paragraph21 Diagrama"/>
    <w:link w:val="Sraopastraipa"/>
    <w:uiPriority w:val="34"/>
    <w:qFormat/>
    <w:locked/>
    <w:rsid w:val="001B5B9A"/>
    <w:rPr>
      <w:rFonts w:ascii="Calibri" w:eastAsia="Calibri" w:hAnsi="Calibri" w:cs="Calibri"/>
      <w:lang w:eastAsia="zh-CN"/>
    </w:rPr>
  </w:style>
  <w:style w:type="character" w:styleId="Komentaronuoroda">
    <w:name w:val="annotation reference"/>
    <w:basedOn w:val="Numatytasispastraiposriftas"/>
    <w:uiPriority w:val="99"/>
    <w:semiHidden/>
    <w:unhideWhenUsed/>
    <w:rsid w:val="00D41AA2"/>
    <w:rPr>
      <w:sz w:val="16"/>
      <w:szCs w:val="16"/>
    </w:rPr>
  </w:style>
  <w:style w:type="paragraph" w:styleId="Komentarotekstas">
    <w:name w:val="annotation text"/>
    <w:basedOn w:val="prastasis"/>
    <w:link w:val="KomentarotekstasDiagrama"/>
    <w:uiPriority w:val="99"/>
    <w:semiHidden/>
    <w:unhideWhenUsed/>
    <w:rsid w:val="00D41A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41AA2"/>
    <w:rPr>
      <w:sz w:val="20"/>
      <w:szCs w:val="20"/>
    </w:rPr>
  </w:style>
  <w:style w:type="paragraph" w:styleId="Komentarotema">
    <w:name w:val="annotation subject"/>
    <w:basedOn w:val="Komentarotekstas"/>
    <w:next w:val="Komentarotekstas"/>
    <w:link w:val="KomentarotemaDiagrama"/>
    <w:uiPriority w:val="99"/>
    <w:semiHidden/>
    <w:unhideWhenUsed/>
    <w:rsid w:val="00D41AA2"/>
    <w:rPr>
      <w:b/>
      <w:bCs/>
    </w:rPr>
  </w:style>
  <w:style w:type="character" w:customStyle="1" w:styleId="KomentarotemaDiagrama">
    <w:name w:val="Komentaro tema Diagrama"/>
    <w:basedOn w:val="KomentarotekstasDiagrama"/>
    <w:link w:val="Komentarotema"/>
    <w:uiPriority w:val="99"/>
    <w:semiHidden/>
    <w:rsid w:val="00D41AA2"/>
    <w:rPr>
      <w:b/>
      <w:bCs/>
      <w:sz w:val="20"/>
      <w:szCs w:val="20"/>
    </w:rPr>
  </w:style>
  <w:style w:type="paragraph" w:styleId="Betarp">
    <w:name w:val="No Spacing"/>
    <w:qFormat/>
    <w:rsid w:val="00D41AA2"/>
    <w:pPr>
      <w:suppressAutoHyphens/>
      <w:spacing w:after="0" w:line="240" w:lineRule="auto"/>
    </w:pPr>
    <w:rPr>
      <w:rFonts w:ascii="Times New Roman" w:eastAsia="Times New Roman" w:hAnsi="Times New Roman" w:cs="Times New Roman"/>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3501</Words>
  <Characters>1996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5</cp:revision>
  <dcterms:created xsi:type="dcterms:W3CDTF">2025-10-24T07:03:00Z</dcterms:created>
  <dcterms:modified xsi:type="dcterms:W3CDTF">2025-11-13T07:44:00Z</dcterms:modified>
</cp:coreProperties>
</file>